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13E" w:rsidRPr="0082513E" w:rsidRDefault="0082513E" w:rsidP="0082513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Приказ Министерства образования и науки РФ от 2 августа 2013 г. N 731 "Об утверждении федерального государственного образовательного стандарта среднего профессионального образования по профессии 100114.01 Официант, бармен"</w:t>
      </w:r>
    </w:p>
    <w:p w:rsidR="0082513E" w:rsidRPr="0082513E" w:rsidRDefault="0082513E" w:rsidP="00825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октября 2013 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 5.2.41 Положения о Министерстве образования и науки Российской Федерации, утвержденного постановлением Правительства Российской Федерации от 3 июня 2013 г. N 466 (Собрание законодательства Российской Федерации, 2013, N 23, ст. 2923), приказываю: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</w:t>
      </w:r>
      <w:hyperlink r:id="rId5" w:anchor="1000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государственный образовательный стандарт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профессионального образования по профессии 100114.01 Официант, бармен.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приказ Министерства образования и науки Российской Федерации от 11 мая 2010 г. N 483 "Об утверждении и введении в действие федерального государственного образовательного стандарта начального профессионального образования по профессии 100114.01 Официант, бармен" (зарегистрирован Министерством юстиции Российской Федерации 16 июля 2010 г., регистрационный N 17875).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приказ вступает в силу с 1 сентября 2013 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1452"/>
      </w:tblGrid>
      <w:tr w:rsidR="0082513E" w:rsidRPr="0082513E" w:rsidTr="0082513E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Министр </w:t>
            </w:r>
          </w:p>
        </w:tc>
        <w:tc>
          <w:tcPr>
            <w:tcW w:w="2500" w:type="pct"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Д.В. Ливанов </w:t>
            </w:r>
          </w:p>
        </w:tc>
      </w:tr>
    </w:tbl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 в Минюсте РФ 20 августа 2013 г.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N 29595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Федеральный государственный образовательный стандарт</w:t>
      </w: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среднего профессионального образования по профессии</w:t>
      </w: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100114.01 Официант, бармен</w:t>
      </w: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(утв. </w:t>
      </w:r>
      <w:hyperlink r:id="rId6" w:anchor="0" w:history="1">
        <w:r w:rsidRPr="0082513E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приказом</w:t>
        </w:r>
      </w:hyperlink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Министерства образования и науки РФ от 2 августа 2013 г. N 731)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справку о федеральных государственных образовательных стандартах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Область применения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профессии 100114.01 Официант, бармен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квалифицированных </w:t>
      </w: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рабочих, служащих по данной профессии, на территории Российской Федерации (далее - образовательная организация).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Право на реализацию программы подготовки квалифицированных рабочих, служащих по профессии 100114.01 Официант, бармен имеет образовательная организация при наличии соответствующей лицензии на осуществление образовательной деятельности.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Возможна сетевая форма реализации программы подготовки квалифицированных рабочих, служащих с использованием ресурсов нескольких образовательных организаций. В реализации программы подготовки квалифицированных рабочих, служащих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квалифицированных рабочих, служащих</w:t>
      </w:r>
      <w:hyperlink r:id="rId7" w:anchor="11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*(1)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Используемые сокращения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стандарте используются следующие сокращения: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 - среднее профессиональное образование;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ППКРС - программа подготовки квалифицированных рабочих, служащих по профессии;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общая компетенция;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- профессиональная компетенция;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ПМ - профессиональный модуль;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- междисциплинарный курс.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Характеристика подготовки по профессии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Сроки получения СПО по профессии 100114.01 Официант, бармен в очной форме обучения и соответствующие квалификации приводятся в </w:t>
      </w:r>
      <w:hyperlink r:id="rId8" w:anchor="1047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Таблице 1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4632"/>
        <w:gridCol w:w="2208"/>
      </w:tblGrid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образования, необходимый для приема на обучение по ППКРС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квалификации (профессий по Общероссийскому классификатору профессий рабочих, должностей служащих и тарифных разрядов) (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016-94)</w:t>
            </w:r>
            <w:hyperlink r:id="rId9" w:anchor="1051" w:history="1">
              <w:r w:rsidRPr="0082513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*</w:t>
              </w:r>
            </w:hyperlink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получения СПО по ППКРС в очной форме обучения</w:t>
            </w:r>
            <w:hyperlink r:id="rId10" w:anchor="1052" w:history="1">
              <w:r w:rsidRPr="0082513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общее образование </w:t>
            </w:r>
          </w:p>
        </w:tc>
        <w:tc>
          <w:tcPr>
            <w:tcW w:w="0" w:type="auto"/>
            <w:vMerge w:val="restart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Официант Бармен Буфетчик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мес.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общее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 5 мес.</w:t>
            </w:r>
            <w:hyperlink r:id="rId11" w:anchor="1053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***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ФГОС СПО в части требований к результатам освоения ППКРС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присвоение выпускнику квалификации выше средней квалификации для данной профессии.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** Независимо от применяемых образовательных технологий.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*** Образовательные организации, осуществляющие подготовку квалифицированных рабочих, служащих на базе основного общего образования, реализуют федеральный государственный образовательный стандарт среднего общего образования в пределах ППКРС, в том числе с учетом получаемой профессии СПО.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Рекомендуемый перечень возможных сочетаний профессий рабочих, должностей служащих по Общероссийскому классификатору профессий рабочих, должностей служащих и тарифных разрядов (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016-94) при формировании ППКРС: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освоение всех вышеперечисленных профессий.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получения СПО по ППКРС независимо от применяемых образовательных технологий увеличиваются: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для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очно-заочной форме обучения: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среднего общего образования - не более чем на 1 год;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 - не более чем на 1,5 года;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инвалидов и лиц с ограниченными возможностями здоровья - не более чем на 6 месяцев.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Характеристика профессиональной деятельности выпускников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Область профессиональной деятельности выпускников: реализация процесса обслуживания в организациях общественного питания.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Объектами профессиональной деятельности выпускников являются: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потребителей организаций общественного питания в процессе обслуживания;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процесс обслуживания в залах организаций общественного питания, за барной стойкой, буфетом;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процесс обслуживания массовых банкетных мероприятий;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процесс обслуживания специальных форм организации питания;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торгово-технологическое и холодильное оборудование, посуда, приборы, инвентарь и другие предметы материально-технического оснащения организаций общественного питания;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нормативная учётно-отчётная документация;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кулинарная и кондитерская продукция, покупные товары и винно-водочные изделия;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приготовления смешанных напитков, в том числе коктейлей, горячих напитков.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Обучающийся по профессии 100114.01 Официант, бармен готовится к следующим видам деятельности: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 Обслуживание потребителей организаций общественного питания.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 Обслуживание потребителей за барной стойкой, буфетом с приготовлением смешанных напитков и простых закусок.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Требования к результатам освоения программы подготовки квалифицированных рабочих, служащих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Выпускник, освоивший ППКРС, должен обладать общими компетенциями, включающими в себя способность: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Понимать сущность и социальную значимость будущей профессии, проявлять к ней устойчивый интерес.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Организовывать собственную деятельность, исходя из цели и способов ее достижения, определенных руководителем.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Осуществлять поиск информации, необходимой для эффективного выполнения профессиональных задач.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Использовать информационно-коммуникационные технологии в профессиональной деятельности.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Работать в команде, эффективно общаться с коллегами, руководством, клиентами.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 Исполнять воинскую обязанность</w:t>
      </w:r>
      <w:hyperlink r:id="rId12" w:anchor="22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*(2)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с применением полученных профессиональных знаний (для юношей).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Выпускник, освоивший ППКРС, должен обладать профессиональными компетенциями, соответствующими видам деятельности: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Обслуживание потребителей организаций общественного питания.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ПК 1.1. Выполнять подготовку залов к обслуживанию в соответствии с его характером, типом и классом организации общественного питания.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1.2. Обслуживать потребителей организаций общественного питания всех форм собственности, различных видов, типов и классов.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Обслуживать массовые банкетные мероприятия.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1.4. Обслуживать потребителей при использовании специальных форм организации питания.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Обслуживание потребителей за барной стойкой, буфетом с приготовлением смешанных напитков и простых закусок.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2.1. Выполнять подготовку бара, буфета к обслуживанию.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2.2. Обслуживать потребителей бара, буфета.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ПК 2.3. Эксплуатировать инвентарь, </w:t>
      </w:r>
      <w:proofErr w:type="spell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весоизмерительное</w:t>
      </w:r>
      <w:proofErr w:type="spell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торгово-технологическое оборудование в процессе обслуживания.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2.4. Вести учётно-отчётную документацию в соответствии с нормативными требованиями.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2.5. Изготавливать определённый ассортимент кулинарной продукции.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2.6. Производить расчёт с потребителем, используя различные формы расчёта.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2.7. Изготавливать смешанные напитки, в том числе коктейли, различными методами, горячие напитки.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VI. Требования к структуре программы подготовки квалифицированных рабочих, служащих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ППКРС предусматривает изучение следующих учебных циклов: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общепрофессионального;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разделов: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практика;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 Обязательная часть ППКРС должна составлять около 80 процентов от общего объема времени, отведенного на ее освоение. Вариативная часть (около 20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Общепрофессиональный учебный цикл состоит из общепрофессиональных дисциплин, профессиональный учебный цикл состоит из профессиональных модулей в соответствии с видами деятельности, соответствующими присваиваемым квалификациям. В состав профессионального модуля входит один или несколько междисциплинарных курсов. При освоении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модулей проводятся учебная и (или) производственная практика.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Обязательная часть профессионального учебного цикла ППКРС должна предусматривать изучение дисциплины "Безопасность жизнедеятельности". Объем часов на дисциплину "Безопасность жизнедеятельности" составляет 2 часа в неделю в период теоретического обучения (обязательной части учебных циклов), но не более 68 часов, из них на освоение основ военной службы - 70 процентов от общего объема времени, отведенного на указанную дисциплину.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Образовательной организацией при определении структуры ППКРС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Структура программы подготовки квалифицированных рабочих, служащих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"/>
        <w:gridCol w:w="2296"/>
        <w:gridCol w:w="1464"/>
        <w:gridCol w:w="1385"/>
        <w:gridCol w:w="2099"/>
        <w:gridCol w:w="1430"/>
      </w:tblGrid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Индекс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учебных циклов, разделов, модулей, требования к знаниям, умениям, практическому опыту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максимальной учебной нагрузки обучающегося (час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.)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часов обязательных учебных занятий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Индекс и наименование дисциплин, междисциплинарных курсов (МДК)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Коды формируемых компетенций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Обязательная часть учебных циклов ППКРС и раздел "Физическая культура"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864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576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Общепрофессиональный учебный цикл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287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198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изучения обязательной части учебного цикла обучающийся по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общепрофессиональным дисциплинам должен: уметь: соблюдать правила протокола и этикета; применять различные средства и техники эффективного общения в профессиональной деятельности, использовать приёмы общения с учётом возраста, статуса гостя; использовать приемы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в процессе межличностного общения; определять тактику поведения в конфликтных ситуациях, возникающих в профессиональной деятельности;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основы протокола и этикета; нормы профессиональной этики; эстетику внешнего облика официанта, бармена; психологические особенности делового общения и его специфику в сфере обслуживания и деятельности официанта, бармена; механизмы взаимопонимания в общении; техники и приемы общения, правила слушания, ведения беседы, убеждения; источники, причины, виды и способы разрешения конфликтов, возникающих в профессиональной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деятельности. </w:t>
            </w:r>
            <w:proofErr w:type="gramEnd"/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ОП.01. Основы культуры профессионального общения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4" w:anchor="1062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1.2 - 1.4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5" w:anchor="1066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2.2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6" w:anchor="1070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2.6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составлять рационы питания для различных категорий потребителей; осуществлять санитарно-гигиенический контроль качества сырья и кулинарной продукции; соблюдать санитарно-гигиенические требования реализации готовой продукции; соблюдать санитарно-гигиенические требования хранения пищевых продуктов; осуществлять органолептическую оценку качества различных групп продовольственных товаров; соблюдать правила личной гигиены и выполнять санитарные правила; готовить растворы дезинфицирующих и моющих средств;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состав, физиологическое значение, энергетическую и пищевую ценность различных продуктов питания; роль питательных и минеральных веществ, витаминов, микроэлементов и воды в структуре питания; понятие суточной нормы потребности человека в питательных веществах;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усвояемость пищи и факторы, влияющие на нее; нормы и принципы рационального сбалансированного питания для различных групп населения; правила личной гигиены;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санитарные требования к торговым и производственным помещениям организаций общественного питания, инвентарю, посуде и таре; санитарные требования к транспортировке и хранению пищевых продуктов и процессу приготовления блюд; санитарные требования к реализации готовой продукции; санитарные требования к обслуживанию посетителей; классификацию моющих средств, правила их применения, условия и сроки их хранения; санитарно-пищевое законодательство; основные пищевые инфекции, отравления, глистные заболевания.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ОП.02. Основы физиологии питания, санитарии и гигиены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8" w:anchor="1061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1.1 - 1.4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9" w:anchor="1065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0" w:anchor="1067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2.3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1" w:anchor="1069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2.5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2" w:anchor="1071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владеть методами оценки качества пищевых продуктов; определять качество основных групп товаров; давать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краткую товароведную характеристику основных групп товаров; знать: методы оценки качества пищевых продуктов; товароведческую характеристику основных групп товаров.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ОП.03. Товароведение пищевых продуктов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4" w:anchor="1062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1.2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5" w:anchor="1065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6" w:anchor="1066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2.2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применять правовые знания при освоении профессиональных модулей и в профессиональной деятельности; соблюдать требования действующего законодательства и защищать свои трудовые права в рамках действующего законодательства; знать: законодательные акты и другие нормативные документы, регулирующие правоотношения в области профессиональной деятельности; основные положения законодательства, регулирующего трудовые отношения; права и обязанности работников в области профессиональной деятельности;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организационно-правовые формы организаций; формы оплаты труда.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ОП.04. Правовые основы профессиональной деятельности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8" w:anchor="1062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1.2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9" w:anchor="1070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2.6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организовывать и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проводить мероприятия по защите работающих и населения от негативных воздействий чрезвычайных ситуаций; предпринимать профилактические меры для снижения уровня опасностей различного вида и их последствий в 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военно-учетных специальностей и самостоятельно определять среди них родственные полученной профессии;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повседневной деятельности и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экстремальных условиях военной службы; оказывать первую помощь пострадавшим;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основные мероприятия гражданской обороны; способы защиты населения от оружия массового поражения; меры пожарной безопасности и правила безопасного поведения при пожарах; организацию и порядок призыва граждан на военную службу и поступления на нее в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добровольном порядке;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ОП.05. Безопасность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жизнедеятельности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1" w:anchor="1061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1.1 - 1.4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2" w:anchor="1065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ПК </w:t>
              </w:r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2.1 - 2.7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учебный цикл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497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338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Профессиональные модули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497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338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ПМ.01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потребителей организаций общественного питания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выполнения всех видов работ по подготовке залов организаций общественного питания к обслуживанию в обычном режиме; встречи, приветствия,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размещения гостей организаций общественного питания за столом, подачи меню; приема, оформления и выполнения заказа на продукцию и услуги организаций общественного питания; рекомендации блюд и напитков гостям при оформлении заказов; подачи к столу заказанных блюд и напитков разными способами; расчета с потребителями согласно счету и проводов гостей; подготовки залов и инвентаря к обслуживанию массовых банкетных мероприятий; обслуживания массовых банкетных мероприятий официального и неофициального характера; обслуживания потребителей при использовании специальных форм организации питания;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передовых, инновационных методов и форм организации труда; уметь: подготавливать зал и сервировать столы для обслуживания в обычном режиме и на массовых банкетных мероприятиях, в том числе выездных;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осуществлять приём заказа на бронирование столика и продукцию на вынос; осуществлять приём заказа на блюда и напитки; обслуживать потребителей организаций общественного питания в обычном режиме и на различных массовых банкетных мероприятиях;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консультировать гостей по составу и методам приготовления блюд, давать рекомендации по выбору вин, крепких спиртных и прочих напитков, их сочетаемости с блюдами; осуществлять подачу блюд и напитков гостям различными способами; соблюдать требования к безопасности готовой продукции и техники безопасности в процессе обслуживания потребителей; предоставлять счёт и производить расчёт с потребителем;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соблюдать правила ресторанного этикета при встрече и приветствии гостей, размещении гостей за столом, обслуживании и прощании с гостями; соблюдать личную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гигиену; знать: виды, типы и классы организаций общественного питания; основные характеристики торговых и производственных помещений организаций общественного питания; материально-техническую и информационную базу обслуживания; правила личной подготовки официанта к обслуживанию; виды, правила, последовательность и технику сервировки столов;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расстановки мебели в торговом зале; правила подготовки торгового зала, столового белья, посуды и приборов к работе; методы организации труда официантов; правила оформления и передачи заказа на производство, бар, буфет; правила и технику подачи алкогольных и безалкогольных напитков; способы подачи блюд; правила, очередность и технику подачи блюд и напитков; правила и технику уборки использованной посуды;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порядок оформления счетов и расчёта с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потребителем; кулинарную характеристику блюд; правила сочетаемости напитков и блюд; требования к качеству, температуре подачи блюд и напитков; правила культуры обслуживания, протокола и этикета при взаимодействии официантов с гостями.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МДК.01.01. Организация и технология обслуживания в общественном питании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4" w:anchor="1061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1.1 - 1.4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ПМ.02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потребителей за барной стойкой, буфетом с приготовлением смешанных напитков и простых закусок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подготовки бара, буфета к обслуживанию; встречи гостей бара и приёма заказа; обслуживания потребителей алкогольными и прочими напитками; приготовления и подачи горячих напитков; приготовления и подачи смешанных напитков и коктейлей;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приготовления и подачи простых закусок; принятия и оформления платежей; оформления отчётно-финансовых документов;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подготовки бара, буфета к закрытию; подготовки к обслуживанию выездного мероприятия; уметь: подготавливать бар, буфет к обслуживанию; обслуживать потребителей за барной стойкой, буфетом алкогольными и безалкогольными напитками и прочей продукцией бара, буфета в обычном режиме и на различных массовых банкетных мероприятиях, в том числе выездных;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заказ и давать пояснения потребителям по напиткам и продукции бара, буфета; готовить смешанные напитки, алкогольные и безалкогольные коктейли, используя необходимые методы приготовления и оформления; эксплуатировать в процессе работы оборудование бара, буфета с соблюдением требований охраны труда и санитарных норм и правил; готовить простые закуски, соблюдая санитарные требования к процессу приготовления;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соблюдать необходимые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условия и сроки хранения продуктов и напитков в баре, буфете; производить расчёт с потребителем, оформлять платежи по счетам и вести кассовую документацию; осуществлять инвентаризацию запасов продуктов и напитков в баре, буфете; оформлять необходимую отчётно-учётную документацию; соблюдать правила профессионального этикета; соблюдать правила личной гигиены; знать: виды и классификации баров; 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планировочные решения баров, буфетов; материально-техническое и информационное оснащение бара и буфета; правила безопасной эксплуатации оборудования бара, буфета; характеристику алкогольных и безалкогольных напитков; правила и последовательность подготовки бара, буфета к обслуживанию; виды и методы обслуживания в баре, буфете; технологию приготовления смешанных и горячих напитков; технологию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приготовления простых закусок; правила ведения учётно-отчётной и кассовой документации;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сроки и условия хранения различных групп товаров и готовой продукции; правила личной подготовки бармена к обслуживанию; правила охраны труда; правила культуры обслуживания, протокола и этикета при взаимодействии бармена, буфетчика с гостями.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МДК.02.01. Организация и технология обслуживания в барах, буфетах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6" w:anchor="1065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ФК.00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  <w:proofErr w:type="gram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освоения раздела обучающийся должен: уметь: использовать физкультурно-оздоровительную деятельность для укрепления здоровья, достижения жизненных и профессиональных целей; знать: о роли физической культуры в общекультурном, профессиональном и социальном развитии человека; основы здорового образа жизни.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anchor="1055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2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8" w:anchor="1056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9" w:anchor="1059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6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0" w:anchor="1060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Вариативная часть учебных циклов ППКРС (определяется образовательной организацией)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обязательной части </w:t>
            </w: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ППКРС, включая раздел "Физическая культура", и вариативной части ППКРС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1080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0" w:type="auto"/>
            <w:vMerge w:val="restart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    </w:t>
            </w:r>
          </w:p>
        </w:tc>
        <w:tc>
          <w:tcPr>
            <w:tcW w:w="0" w:type="auto"/>
            <w:vMerge w:val="restart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684     </w:t>
            </w:r>
          </w:p>
        </w:tc>
        <w:tc>
          <w:tcPr>
            <w:tcW w:w="0" w:type="auto"/>
            <w:vMerge w:val="restart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vMerge w:val="restart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anchor="1054" w:history="1">
              <w:proofErr w:type="gramStart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2" w:anchor="1061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1.1 - 1.4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3" w:anchor="1065" w:history="1">
              <w:r w:rsidRPr="008251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2.1 - 2.7</w:t>
              </w:r>
            </w:hyperlink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ПП.00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</w:tc>
        <w:tc>
          <w:tcPr>
            <w:tcW w:w="0" w:type="auto"/>
            <w:vMerge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ГИА.00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получения среднего профессионального образования по ППКРС в очной форме обучения составляет 43 недели, в том числе: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4"/>
        <w:gridCol w:w="802"/>
      </w:tblGrid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 по</w:t>
            </w:r>
            <w:proofErr w:type="gram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учебным циклам и разделу "Физическая культура"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0" w:type="auto"/>
            <w:vMerge w:val="restart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</w:tc>
        <w:tc>
          <w:tcPr>
            <w:tcW w:w="0" w:type="auto"/>
            <w:vMerge/>
            <w:vAlign w:val="center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VII. Требования к условиям реализации программы подготовки квалифицированных рабочих, служащих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Образовательная организация самостоятельно разрабатывает и утверждает ППКРС в соответствии с ФГОС СПО, определяя профессию или группу профессий рабочих (должностей служащих) по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016-94 (исходя из рекомендуемого перечня их возможных сочетаний согласно </w:t>
      </w:r>
      <w:hyperlink r:id="rId44" w:anchor="1048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3.2.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СПО), с учетом соответствующей примерной ППКРС.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разработки ППКРС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виды деятельности, к которым готовится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должны соответствовать присваиваемым квалификациям,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формировании ППКРС образовательная организация: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 использовать объем времени, отведенный на вариативную часть учебных циклов ППКРС, увеличивая при этом объем времени, отведенный на дисциплины и </w:t>
      </w: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обновлять ППКРС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обязана обеспечивать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участвовать в формировании индивидуальной образовательной программы;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клубов;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предусматривать при реализации компетентностного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проектов, анализа производственных ситуаций, психологических и иных тренингов, групповых дискуссий в сочетании с внеаудиторной работой для формирования и развития общих и профессиональных компетенций обучающихся.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реализации ППКРС обучающиеся имеют академические права и обязанности в соответствии с Федеральным законом от 29 декабря 2012 г. N 273-ФЗ "Об образовании в Российской Федерации"</w:t>
      </w:r>
      <w:hyperlink r:id="rId45" w:anchor="33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Максимальный объем учебной нагрузки обучающегося составляет 54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неделю, включая все виды аудиторной и внеаудиторной (самостоятельной) учебной работы по освоению ППКРС и консультации.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По дисциплине "Физическая культура" могут быть предусмотрены еженедельно 2 часа самостоятельной учебной нагрузки, включая игровые виды подготовки (за счет различных форм внеаудиторных занятий в спортивных клубах, секциях).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7.8. Образовательная организация имеет право для подгрупп девушек использовать 70 процентов учебного времени дисциплины "Безопасность жизнедеятельности", отведенного на изучение основ военной службы, на освоение основ медицинских знаний.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Получение СПО на базе основного общего образования осуществляется с одновременным получением среднего общего образования в пределах ППКРС. В этом случае ППКРС,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реализуемая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СПО.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освоения ППКРС в очной форме обучения для лиц, обучающихся на базе основного общего образования, увеличивается на 82 недели из расчета: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0"/>
        <w:gridCol w:w="795"/>
      </w:tblGrid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(при обязательной учебной нагрузке 36 часов в неделю)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57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2513E" w:rsidRPr="0082513E" w:rsidTr="0082513E">
        <w:trPr>
          <w:tblCellSpacing w:w="15" w:type="dxa"/>
        </w:trPr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0" w:type="auto"/>
            <w:hideMark/>
          </w:tcPr>
          <w:p w:rsidR="0082513E" w:rsidRPr="0082513E" w:rsidRDefault="0082513E" w:rsidP="0082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proofErr w:type="spellStart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825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7.10.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проведения консультаций (групповые, индивидуальные, письменные, устные) определяются образовательной организацией.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7.11. В период обучения с юношами проводятся учебные сборы*(4).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7.12. Практика является обязательным разделом ППКРС. Она представляет собой вид учебной деятельности, направленной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 При реализации ППКРС предусматриваются следующие виды практик: учебная и производственная.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</w:t>
      </w:r>
      <w:proofErr w:type="spell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рассредоточенно</w:t>
      </w:r>
      <w:proofErr w:type="spell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чередуясь с теоретическими занятиями в рамках профессиональных модулей.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задачи, программы и формы отчетности определяются образовательной организацией по каждому виду практики.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7.13. Реализация ППКРС должна обеспечиваться педагогическими кадрами, имеющими среднее профессиональное или высшее образование, соответствующее профилю </w:t>
      </w: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преподаваемой дисциплины (модуля). Мастера производственного обучения должны иметь на 1 - 2 разряда по профессии рабочего выше, чем предусмотрено ФГОС СПО для 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 ППКРС должна обеспечиваться учебно-методической документацией по всем дисциплинам, междисциплинарным курсам и профессиональным модулям ППКРС.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ППКРС должна обеспечиваться доступом каждого обучающегося к базам данных и библиотечным фондам, формируемым по полному перечню дисциплин (модулей) ППКРС. Во время самостоятельной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 быть обеспечены доступом к сети Интернет.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обучающийся должен быть обеспечен не менее чем одним учебным печатным и/или электронным изданием по каждой дисциплине общепрофессионального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циклов, изданными за последние 5 лет.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Библиотечный фонд, помимо учебной литературы, должен включать официальные, справочно-библиографические и периодические издания в расчете 1-2 экземпляра на каждые 100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обучающемуся должен быть обеспечен доступ к комплектам библиотечного фонда, состоящим не менее чем из 3 наименований отечественных журналов.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 должна предоставить обучающимся возможность оперативного обмена информацией с отечественными организациями, в том числе образовательными организациями, и доступ к современным профессиональным базам данных и информационным ресурсам сети Интернет.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7.15.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на обучение по ППКРС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частью 4 статьи 68 Федерального закона от 29 декабря 2012 г. N 273-ФЗ "Об образовании в Российской Федерации"</w:t>
      </w:r>
      <w:hyperlink r:id="rId46" w:anchor="33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Финансирование реализации ППКРС должно осуществляться в объеме не ниже установленных государственных нормативных затрат на оказание государственной услуги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 для данного уровня.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7.16.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организация, реализующая ППКРС,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</w:t>
      </w: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подготовки, учебной практики, предусмотренных учебным планом образовательной организации.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Материально-техническая база должна соответствовать действующим санитарным и противопожарным нормам.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кабинетов, лабораторий, мастерских и других помещений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физиологии питания, санитарии и гигиены;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профессионального общения;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товароведения пищевых продуктов;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жизнедеятельности;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обслуживания в общественном питании.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Лаборатории: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обслуживания в общественном питании.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Мастерские: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банкетный зал.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комплекс: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стадион широкого профиля с элементами полосы препятствий;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стрелковый тир (в любой модификации, включая электронный) или место для стрельбы.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Залы: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библиотека, читальный зал с выходом в сеть Интернет;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ППКРС должна обеспечивать: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профессиональной деятельности.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7.17. Реализация ППКРС осуществляется образовательной организацией на государственном языке Российской Федерации.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ППКРС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ППКРС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51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VIII. Требования к результатам освоения программы подготовки квалифицированных рабочих, служащих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Оценка качества освоения ППКРС должна включать текущий контроль успеваемости, промежуточную и государственную итоговую аттестацию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Для аттестации обучающихся на соответствие их персональных достижений поэтапным требованиям соответствующей ППКРС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Фонды оценочных сре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Оценка качества подготовки обучающихся и выпускников осуществляется в двух основных направлениях: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уровня освоения дисциплин;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компетенций обучающихся.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юношей предусматривается оценка результатов освоения основ военной службы.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8.5.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или индивидуальный учебный план по ППКРС, если иное не установлено порядком проведения государственной итоговой аттестации по образовательным программам среднего профессионального образования</w:t>
      </w:r>
      <w:hyperlink r:id="rId47" w:anchor="55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*(5)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8.6. Государственная итоговая аттестация включает защиту выпускной квалификационной работы (выпускная практическая квалификационная работа и письменная экзаменационная работа). Обязательные требования - соответствие тематики выпускной квалификационной работы содержанию одного или нескольких профессиональных модулей; выпускная практическая квалификационная работа должна предусматривать сложность работы не ниже разряда по профессии рабочего, предусмотренного ФГОС СПО.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экзамен вводится по усмотрению образовательной организации.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Обучающиеся по ППКРС, не имеющие среднего общего образования, в соответствии с частью 6 статьи 68 Федерального закона от 29 декабря 2012 г. N 273-ФЗ "Об образовании в Российской Федерации"</w:t>
      </w:r>
      <w:hyperlink r:id="rId48" w:anchor="33" w:history="1">
        <w:r w:rsidRPr="008251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бесплатно пройти государственную итоговую аттестацию, которой завершается освоение образовательных программ среднего общего образования. При успешном прохождении указанной государственной итоговой аттестации аккредитованной образовательной организацией </w:t>
      </w: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выдается аттестат о среднем общем образовании.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*(1) Часть 1 статьи 15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*(2) В соответствии с Федеральным законом от 28.03.1998 N 53-ФЗ "О воинской обязанности и военной службе".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*(3) Собрание законодательства Российской Федерации, 2012, N 53, ст. 7598; 2013, N 19, ст. 2326.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*(4) Пункт 1 статьи 13 Федерального закона от 28 марта 1998 г. N 53-ФЗ "О воинской обязанности и военной службе" (Собрание законодательства Российской Федерации, 1998, N 13, ст. 1475; 2004, N 35, ст. 3607; 2005, N 30, ст. 3111; 2007, N 49. ст. 6070; 2008, N 30, ст. 3616; 2013, N 27, ст. 3477).</w:t>
      </w:r>
      <w:proofErr w:type="gramEnd"/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*(5) Часть 6 статьи 59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1" w:name="review"/>
      <w:bookmarkEnd w:id="1"/>
      <w:r w:rsidRPr="008251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Обзор документа</w:t>
      </w:r>
    </w:p>
    <w:p w:rsidR="0082513E" w:rsidRPr="0082513E" w:rsidRDefault="0082513E" w:rsidP="00825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федеральный государственный образовательный стандарт среднего профессионального образования по профессии "Официант, бармен" (100114.01).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Стандарт обязателен к применению образовательными организациями, которые имеют право на реализацию имеющих </w:t>
      </w:r>
      <w:proofErr w:type="spellStart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госаккредитацию</w:t>
      </w:r>
      <w:proofErr w:type="spellEnd"/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подготовки квалифицированных рабочих и служащих по данной профессии в России.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Приведена характеристика подготовки и профессиональной деятельности выпускников. Определены требования к результатам освоения основной образовательной программы и к ее структуре.</w:t>
      </w:r>
    </w:p>
    <w:p w:rsidR="0082513E" w:rsidRPr="0082513E" w:rsidRDefault="0082513E" w:rsidP="00825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вступает в силу с 1 сентября 2013 г.</w:t>
      </w:r>
    </w:p>
    <w:p w:rsidR="0082513E" w:rsidRPr="0082513E" w:rsidRDefault="0082513E" w:rsidP="008251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5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ГАРАНТ</w:t>
      </w:r>
      <w:proofErr w:type="gramStart"/>
      <w:r w:rsidRPr="00825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825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У: </w:t>
      </w:r>
      <w:hyperlink r:id="rId49" w:anchor="ixzz4ATQAaTfT" w:history="1">
        <w:r w:rsidRPr="0082513E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http://www.garant.ru/products/ipo/prime/doc/70344122/#ixzz4ATQAaTfT</w:t>
        </w:r>
      </w:hyperlink>
    </w:p>
    <w:p w:rsidR="008F1653" w:rsidRDefault="008F1653">
      <w:bookmarkStart w:id="2" w:name="_GoBack"/>
      <w:bookmarkEnd w:id="2"/>
    </w:p>
    <w:sectPr w:rsidR="008F1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3E"/>
    <w:rsid w:val="0082513E"/>
    <w:rsid w:val="008F1653"/>
    <w:rsid w:val="00B87E99"/>
    <w:rsid w:val="00BC1E51"/>
    <w:rsid w:val="00B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51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251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1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51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2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513E"/>
    <w:rPr>
      <w:color w:val="0000FF"/>
      <w:u w:val="single"/>
    </w:rPr>
  </w:style>
  <w:style w:type="paragraph" w:customStyle="1" w:styleId="toleft">
    <w:name w:val="toleft"/>
    <w:basedOn w:val="a"/>
    <w:rsid w:val="0082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51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251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1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51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2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513E"/>
    <w:rPr>
      <w:color w:val="0000FF"/>
      <w:u w:val="single"/>
    </w:rPr>
  </w:style>
  <w:style w:type="paragraph" w:customStyle="1" w:styleId="toleft">
    <w:name w:val="toleft"/>
    <w:basedOn w:val="a"/>
    <w:rsid w:val="0082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arant.ru/products/ipo/prime/doc/70344122/" TargetMode="External"/><Relationship Id="rId18" Type="http://schemas.openxmlformats.org/officeDocument/2006/relationships/hyperlink" Target="http://www.garant.ru/products/ipo/prime/doc/70344122/" TargetMode="External"/><Relationship Id="rId26" Type="http://schemas.openxmlformats.org/officeDocument/2006/relationships/hyperlink" Target="http://www.garant.ru/products/ipo/prime/doc/70344122/" TargetMode="External"/><Relationship Id="rId39" Type="http://schemas.openxmlformats.org/officeDocument/2006/relationships/hyperlink" Target="http://www.garant.ru/products/ipo/prime/doc/70344122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arant.ru/products/ipo/prime/doc/70344122/" TargetMode="External"/><Relationship Id="rId34" Type="http://schemas.openxmlformats.org/officeDocument/2006/relationships/hyperlink" Target="http://www.garant.ru/products/ipo/prime/doc/70344122/" TargetMode="External"/><Relationship Id="rId42" Type="http://schemas.openxmlformats.org/officeDocument/2006/relationships/hyperlink" Target="http://www.garant.ru/products/ipo/prime/doc/70344122/" TargetMode="External"/><Relationship Id="rId47" Type="http://schemas.openxmlformats.org/officeDocument/2006/relationships/hyperlink" Target="http://www.garant.ru/products/ipo/prime/doc/70344122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www.garant.ru/products/ipo/prime/doc/70344122/" TargetMode="External"/><Relationship Id="rId12" Type="http://schemas.openxmlformats.org/officeDocument/2006/relationships/hyperlink" Target="http://www.garant.ru/products/ipo/prime/doc/70344122/" TargetMode="External"/><Relationship Id="rId17" Type="http://schemas.openxmlformats.org/officeDocument/2006/relationships/hyperlink" Target="http://www.garant.ru/products/ipo/prime/doc/70344122/" TargetMode="External"/><Relationship Id="rId25" Type="http://schemas.openxmlformats.org/officeDocument/2006/relationships/hyperlink" Target="http://www.garant.ru/products/ipo/prime/doc/70344122/" TargetMode="External"/><Relationship Id="rId33" Type="http://schemas.openxmlformats.org/officeDocument/2006/relationships/hyperlink" Target="http://www.garant.ru/products/ipo/prime/doc/70344122/" TargetMode="External"/><Relationship Id="rId38" Type="http://schemas.openxmlformats.org/officeDocument/2006/relationships/hyperlink" Target="http://www.garant.ru/products/ipo/prime/doc/70344122/" TargetMode="External"/><Relationship Id="rId46" Type="http://schemas.openxmlformats.org/officeDocument/2006/relationships/hyperlink" Target="http://www.garant.ru/products/ipo/prime/doc/70344122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garant.ru/products/ipo/prime/doc/70344122/" TargetMode="External"/><Relationship Id="rId20" Type="http://schemas.openxmlformats.org/officeDocument/2006/relationships/hyperlink" Target="http://www.garant.ru/products/ipo/prime/doc/70344122/" TargetMode="External"/><Relationship Id="rId29" Type="http://schemas.openxmlformats.org/officeDocument/2006/relationships/hyperlink" Target="http://www.garant.ru/products/ipo/prime/doc/70344122/" TargetMode="External"/><Relationship Id="rId41" Type="http://schemas.openxmlformats.org/officeDocument/2006/relationships/hyperlink" Target="http://www.garant.ru/products/ipo/prime/doc/70344122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70344122/" TargetMode="External"/><Relationship Id="rId11" Type="http://schemas.openxmlformats.org/officeDocument/2006/relationships/hyperlink" Target="http://www.garant.ru/products/ipo/prime/doc/70344122/" TargetMode="External"/><Relationship Id="rId24" Type="http://schemas.openxmlformats.org/officeDocument/2006/relationships/hyperlink" Target="http://www.garant.ru/products/ipo/prime/doc/70344122/" TargetMode="External"/><Relationship Id="rId32" Type="http://schemas.openxmlformats.org/officeDocument/2006/relationships/hyperlink" Target="http://www.garant.ru/products/ipo/prime/doc/70344122/" TargetMode="External"/><Relationship Id="rId37" Type="http://schemas.openxmlformats.org/officeDocument/2006/relationships/hyperlink" Target="http://www.garant.ru/products/ipo/prime/doc/70344122/" TargetMode="External"/><Relationship Id="rId40" Type="http://schemas.openxmlformats.org/officeDocument/2006/relationships/hyperlink" Target="http://www.garant.ru/products/ipo/prime/doc/70344122/" TargetMode="External"/><Relationship Id="rId45" Type="http://schemas.openxmlformats.org/officeDocument/2006/relationships/hyperlink" Target="http://www.garant.ru/products/ipo/prime/doc/70344122/" TargetMode="External"/><Relationship Id="rId5" Type="http://schemas.openxmlformats.org/officeDocument/2006/relationships/hyperlink" Target="http://www.garant.ru/products/ipo/prime/doc/70344122/" TargetMode="External"/><Relationship Id="rId15" Type="http://schemas.openxmlformats.org/officeDocument/2006/relationships/hyperlink" Target="http://www.garant.ru/products/ipo/prime/doc/70344122/" TargetMode="External"/><Relationship Id="rId23" Type="http://schemas.openxmlformats.org/officeDocument/2006/relationships/hyperlink" Target="http://www.garant.ru/products/ipo/prime/doc/70344122/" TargetMode="External"/><Relationship Id="rId28" Type="http://schemas.openxmlformats.org/officeDocument/2006/relationships/hyperlink" Target="http://www.garant.ru/products/ipo/prime/doc/70344122/" TargetMode="External"/><Relationship Id="rId36" Type="http://schemas.openxmlformats.org/officeDocument/2006/relationships/hyperlink" Target="http://www.garant.ru/products/ipo/prime/doc/70344122/" TargetMode="External"/><Relationship Id="rId49" Type="http://schemas.openxmlformats.org/officeDocument/2006/relationships/hyperlink" Target="http://www.garant.ru/products/ipo/prime/doc/70344122/" TargetMode="External"/><Relationship Id="rId10" Type="http://schemas.openxmlformats.org/officeDocument/2006/relationships/hyperlink" Target="http://www.garant.ru/products/ipo/prime/doc/70344122/" TargetMode="External"/><Relationship Id="rId19" Type="http://schemas.openxmlformats.org/officeDocument/2006/relationships/hyperlink" Target="http://www.garant.ru/products/ipo/prime/doc/70344122/" TargetMode="External"/><Relationship Id="rId31" Type="http://schemas.openxmlformats.org/officeDocument/2006/relationships/hyperlink" Target="http://www.garant.ru/products/ipo/prime/doc/70344122/" TargetMode="External"/><Relationship Id="rId44" Type="http://schemas.openxmlformats.org/officeDocument/2006/relationships/hyperlink" Target="http://www.garant.ru/products/ipo/prime/doc/7034412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products/ipo/prime/doc/70344122/" TargetMode="External"/><Relationship Id="rId14" Type="http://schemas.openxmlformats.org/officeDocument/2006/relationships/hyperlink" Target="http://www.garant.ru/products/ipo/prime/doc/70344122/" TargetMode="External"/><Relationship Id="rId22" Type="http://schemas.openxmlformats.org/officeDocument/2006/relationships/hyperlink" Target="http://www.garant.ru/products/ipo/prime/doc/70344122/" TargetMode="External"/><Relationship Id="rId27" Type="http://schemas.openxmlformats.org/officeDocument/2006/relationships/hyperlink" Target="http://www.garant.ru/products/ipo/prime/doc/70344122/" TargetMode="External"/><Relationship Id="rId30" Type="http://schemas.openxmlformats.org/officeDocument/2006/relationships/hyperlink" Target="http://www.garant.ru/products/ipo/prime/doc/70344122/" TargetMode="External"/><Relationship Id="rId35" Type="http://schemas.openxmlformats.org/officeDocument/2006/relationships/hyperlink" Target="http://www.garant.ru/products/ipo/prime/doc/70344122/" TargetMode="External"/><Relationship Id="rId43" Type="http://schemas.openxmlformats.org/officeDocument/2006/relationships/hyperlink" Target="http://www.garant.ru/products/ipo/prime/doc/70344122/" TargetMode="External"/><Relationship Id="rId48" Type="http://schemas.openxmlformats.org/officeDocument/2006/relationships/hyperlink" Target="http://www.garant.ru/products/ipo/prime/doc/70344122/" TargetMode="External"/><Relationship Id="rId8" Type="http://schemas.openxmlformats.org/officeDocument/2006/relationships/hyperlink" Target="http://www.garant.ru/products/ipo/prime/doc/70344122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6553</Words>
  <Characters>37357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2016-06-03T00:57:00Z</dcterms:created>
  <dcterms:modified xsi:type="dcterms:W3CDTF">2016-06-03T00:59:00Z</dcterms:modified>
</cp:coreProperties>
</file>